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9E" w:rsidRDefault="00CB369E" w:rsidP="00CB369E">
      <w:pPr>
        <w:shd w:val="clear" w:color="auto" w:fill="F6EAEA"/>
        <w:spacing w:after="105" w:line="420" w:lineRule="atLeast"/>
        <w:jc w:val="center"/>
        <w:rPr>
          <w:rFonts w:ascii="Georgia" w:eastAsia="Times New Roman" w:hAnsi="Georgia" w:cs="Times New Roman"/>
          <w:color w:val="000000"/>
          <w:sz w:val="32"/>
          <w:szCs w:val="32"/>
          <w:lang w:eastAsia="ru-RU"/>
        </w:rPr>
      </w:pPr>
      <w:r w:rsidRPr="00CB369E">
        <w:rPr>
          <w:rFonts w:ascii="Georgia" w:eastAsia="Times New Roman" w:hAnsi="Georgia" w:cs="Times New Roman"/>
          <w:color w:val="000000"/>
          <w:sz w:val="32"/>
          <w:szCs w:val="32"/>
          <w:lang w:eastAsia="ru-RU"/>
        </w:rPr>
        <w:t>Развитие</w:t>
      </w:r>
    </w:p>
    <w:p w:rsidR="00CB369E" w:rsidRPr="00CB369E" w:rsidRDefault="00CB369E" w:rsidP="00CB369E">
      <w:pPr>
        <w:shd w:val="clear" w:color="auto" w:fill="F6EAEA"/>
        <w:spacing w:after="105" w:line="420" w:lineRule="atLeast"/>
        <w:jc w:val="center"/>
        <w:rPr>
          <w:rFonts w:ascii="Georgia" w:eastAsia="Times New Roman" w:hAnsi="Georgia" w:cs="Times New Roman"/>
          <w:color w:val="000000"/>
          <w:sz w:val="32"/>
          <w:szCs w:val="32"/>
          <w:lang w:eastAsia="ru-RU"/>
        </w:rPr>
      </w:pPr>
      <w:r w:rsidRPr="00CB369E">
        <w:rPr>
          <w:rFonts w:ascii="Georgia" w:eastAsia="Times New Roman" w:hAnsi="Georgia" w:cs="Times New Roman"/>
          <w:color w:val="000000"/>
          <w:sz w:val="32"/>
          <w:szCs w:val="32"/>
          <w:lang w:eastAsia="ru-RU"/>
        </w:rPr>
        <w:t xml:space="preserve">функциональной грамотности </w:t>
      </w:r>
      <w:proofErr w:type="gramStart"/>
      <w:r w:rsidRPr="00CB369E">
        <w:rPr>
          <w:rFonts w:ascii="Georgia" w:eastAsia="Times New Roman" w:hAnsi="Georgia" w:cs="Times New Roman"/>
          <w:color w:val="000000"/>
          <w:sz w:val="32"/>
          <w:szCs w:val="32"/>
          <w:lang w:eastAsia="ru-RU"/>
        </w:rPr>
        <w:t>обучающихся</w:t>
      </w:r>
      <w:proofErr w:type="gramEnd"/>
      <w:r w:rsidRPr="00CB369E">
        <w:rPr>
          <w:rFonts w:ascii="Georgia" w:eastAsia="Times New Roman" w:hAnsi="Georgia" w:cs="Times New Roman"/>
          <w:color w:val="000000"/>
          <w:sz w:val="32"/>
          <w:szCs w:val="32"/>
          <w:lang w:eastAsia="ru-RU"/>
        </w:rPr>
        <w:t xml:space="preserve"> педагогами</w:t>
      </w:r>
    </w:p>
    <w:p w:rsidR="00CB369E" w:rsidRDefault="00CB369E" w:rsidP="00395218">
      <w:pPr>
        <w:shd w:val="clear" w:color="auto" w:fill="F6EAEA"/>
        <w:spacing w:after="105" w:line="420" w:lineRule="atLeast"/>
        <w:rPr>
          <w:rFonts w:ascii="Georgia" w:eastAsia="Times New Roman" w:hAnsi="Georgia" w:cs="Times New Roman"/>
          <w:color w:val="000000"/>
          <w:sz w:val="24"/>
          <w:szCs w:val="24"/>
          <w:lang w:eastAsia="ru-RU"/>
        </w:rPr>
      </w:pPr>
    </w:p>
    <w:p w:rsidR="00395218" w:rsidRPr="00395218" w:rsidRDefault="00395218" w:rsidP="00395218">
      <w:pPr>
        <w:shd w:val="clear" w:color="auto" w:fill="F6EAEA"/>
        <w:spacing w:after="105" w:line="420" w:lineRule="atLeast"/>
        <w:rPr>
          <w:rFonts w:ascii="Georgia" w:eastAsia="Times New Roman" w:hAnsi="Georgia" w:cs="Times New Roman"/>
          <w:color w:val="000000"/>
          <w:sz w:val="24"/>
          <w:szCs w:val="24"/>
          <w:lang w:eastAsia="ru-RU"/>
        </w:rPr>
      </w:pPr>
      <w:r w:rsidRPr="00395218">
        <w:rPr>
          <w:rFonts w:ascii="Georgia" w:eastAsia="Times New Roman" w:hAnsi="Georgia" w:cs="Times New Roman"/>
          <w:color w:val="000000"/>
          <w:sz w:val="24"/>
          <w:szCs w:val="24"/>
          <w:lang w:eastAsia="ru-RU"/>
        </w:rPr>
        <w:t xml:space="preserve">В 2021 году 15-летние школьники примут участие в международном исследовании по оценке качества образования PISA. С помощью инструментов в статье проверите, как учителя развивают математическую, </w:t>
      </w:r>
      <w:proofErr w:type="spellStart"/>
      <w:proofErr w:type="gramStart"/>
      <w:r w:rsidRPr="00395218">
        <w:rPr>
          <w:rFonts w:ascii="Georgia" w:eastAsia="Times New Roman" w:hAnsi="Georgia" w:cs="Times New Roman"/>
          <w:color w:val="000000"/>
          <w:sz w:val="24"/>
          <w:szCs w:val="24"/>
          <w:lang w:eastAsia="ru-RU"/>
        </w:rPr>
        <w:t>естественно-научную</w:t>
      </w:r>
      <w:proofErr w:type="spellEnd"/>
      <w:proofErr w:type="gramEnd"/>
      <w:r w:rsidRPr="00395218">
        <w:rPr>
          <w:rFonts w:ascii="Georgia" w:eastAsia="Times New Roman" w:hAnsi="Georgia" w:cs="Times New Roman"/>
          <w:color w:val="000000"/>
          <w:sz w:val="24"/>
          <w:szCs w:val="24"/>
          <w:lang w:eastAsia="ru-RU"/>
        </w:rPr>
        <w:t xml:space="preserve"> и читательскую грамотности.</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Международная программа PISA-2021 пройдет по трем основным направлениям формирования функциональной грамотности: читательская, математическая и естественнонаучная грамотности. В новом цикле исследования основное внимание будет уделено математической грамотности. Воспользуйтесь готовой картой контроля, которая поможет проверить, как учителя формируют и развивают математическую грамотность школьников. Чтобы оценить, насколько качественно педагоги сформировали у школьников читательскую и естественнонаучную грамотности, смотрите готовые карты контроля работы учителей в конце статьи.</w:t>
      </w:r>
    </w:p>
    <w:p w:rsidR="00395218" w:rsidRPr="00395218" w:rsidRDefault="00395218" w:rsidP="00395218">
      <w:pPr>
        <w:shd w:val="clear" w:color="auto" w:fill="FFFFFF"/>
        <w:spacing w:after="0" w:line="420" w:lineRule="atLeast"/>
        <w:outlineLvl w:val="1"/>
        <w:rPr>
          <w:rFonts w:ascii="Arial" w:eastAsia="Times New Roman" w:hAnsi="Arial" w:cs="Arial"/>
          <w:b/>
          <w:bCs/>
          <w:color w:val="000000"/>
          <w:sz w:val="33"/>
          <w:szCs w:val="33"/>
          <w:lang w:eastAsia="ru-RU"/>
        </w:rPr>
      </w:pPr>
      <w:r w:rsidRPr="00395218">
        <w:rPr>
          <w:rFonts w:ascii="Arial" w:eastAsia="Times New Roman" w:hAnsi="Arial" w:cs="Arial"/>
          <w:b/>
          <w:bCs/>
          <w:color w:val="000000"/>
          <w:sz w:val="33"/>
          <w:szCs w:val="33"/>
          <w:lang w:eastAsia="ru-RU"/>
        </w:rPr>
        <w:t xml:space="preserve">Организуйте заседания </w:t>
      </w:r>
      <w:proofErr w:type="spellStart"/>
      <w:r w:rsidRPr="00395218">
        <w:rPr>
          <w:rFonts w:ascii="Arial" w:eastAsia="Times New Roman" w:hAnsi="Arial" w:cs="Arial"/>
          <w:b/>
          <w:bCs/>
          <w:color w:val="000000"/>
          <w:sz w:val="33"/>
          <w:szCs w:val="33"/>
          <w:lang w:eastAsia="ru-RU"/>
        </w:rPr>
        <w:t>методобъединений</w:t>
      </w:r>
      <w:proofErr w:type="spellEnd"/>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 xml:space="preserve">В феврале посетите заседания </w:t>
      </w:r>
      <w:proofErr w:type="spellStart"/>
      <w:r w:rsidRPr="00395218">
        <w:rPr>
          <w:rFonts w:ascii="Georgia" w:eastAsia="Times New Roman" w:hAnsi="Georgia" w:cs="Times New Roman"/>
          <w:color w:val="000000"/>
          <w:sz w:val="27"/>
          <w:szCs w:val="27"/>
          <w:lang w:eastAsia="ru-RU"/>
        </w:rPr>
        <w:t>методобъединений</w:t>
      </w:r>
      <w:proofErr w:type="spellEnd"/>
      <w:r w:rsidRPr="00395218">
        <w:rPr>
          <w:rFonts w:ascii="Georgia" w:eastAsia="Times New Roman" w:hAnsi="Georgia" w:cs="Times New Roman"/>
          <w:color w:val="000000"/>
          <w:sz w:val="27"/>
          <w:szCs w:val="27"/>
          <w:lang w:eastAsia="ru-RU"/>
        </w:rPr>
        <w:t xml:space="preserve">. На них руководители должны рассказать педагогам об оценке функциональной грамотности в контексте грядущего международного исследования. Порекомендуйте руководителям </w:t>
      </w:r>
      <w:proofErr w:type="spellStart"/>
      <w:r w:rsidRPr="00395218">
        <w:rPr>
          <w:rFonts w:ascii="Georgia" w:eastAsia="Times New Roman" w:hAnsi="Georgia" w:cs="Times New Roman"/>
          <w:color w:val="000000"/>
          <w:sz w:val="27"/>
          <w:szCs w:val="27"/>
          <w:lang w:eastAsia="ru-RU"/>
        </w:rPr>
        <w:t>методобъединений</w:t>
      </w:r>
      <w:proofErr w:type="spellEnd"/>
      <w:r w:rsidRPr="00395218">
        <w:rPr>
          <w:rFonts w:ascii="Georgia" w:eastAsia="Times New Roman" w:hAnsi="Georgia" w:cs="Times New Roman"/>
          <w:color w:val="000000"/>
          <w:sz w:val="27"/>
          <w:szCs w:val="27"/>
          <w:lang w:eastAsia="ru-RU"/>
        </w:rPr>
        <w:t xml:space="preserve"> сделать акцент на основных изменениях в исследовании.</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Основное направление программы PISA-2021 – математическая грамотность. Исследование будет измерять, насколько эффективно образовательные системы стран готовят школьников к использованию математики во всех аспектах их жизни. Особое внимание в заданиях уделят использованию математики для решения практических задач в различных контекстах.</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 xml:space="preserve">Ключевой составляющей понятия «математическая грамотность» в концепции по математике исследования PISA-2021 стало математическое рассуждение. Чтобы решить проблему, математически грамотный школьник сначала должен увидеть ее математическую природу, которая представлена в контексте реального мира, и сформулировать ее на языке математики. Ученик может сделать это с опорой на свои предметные математические знания. Такие преобразования </w:t>
      </w:r>
      <w:r w:rsidRPr="00395218">
        <w:rPr>
          <w:rFonts w:ascii="Georgia" w:eastAsia="Times New Roman" w:hAnsi="Georgia" w:cs="Times New Roman"/>
          <w:color w:val="000000"/>
          <w:sz w:val="27"/>
          <w:szCs w:val="27"/>
          <w:lang w:eastAsia="ru-RU"/>
        </w:rPr>
        <w:lastRenderedPageBreak/>
        <w:t xml:space="preserve">потребуют от ребенка математических рассуждений. Предложите руководителям на заседаниях </w:t>
      </w:r>
      <w:proofErr w:type="spellStart"/>
      <w:r w:rsidRPr="00395218">
        <w:rPr>
          <w:rFonts w:ascii="Georgia" w:eastAsia="Times New Roman" w:hAnsi="Georgia" w:cs="Times New Roman"/>
          <w:color w:val="000000"/>
          <w:sz w:val="27"/>
          <w:szCs w:val="27"/>
          <w:lang w:eastAsia="ru-RU"/>
        </w:rPr>
        <w:t>методобъединений</w:t>
      </w:r>
      <w:proofErr w:type="spellEnd"/>
      <w:r w:rsidRPr="00395218">
        <w:rPr>
          <w:rFonts w:ascii="Georgia" w:eastAsia="Times New Roman" w:hAnsi="Georgia" w:cs="Times New Roman"/>
          <w:color w:val="000000"/>
          <w:sz w:val="27"/>
          <w:szCs w:val="27"/>
          <w:lang w:eastAsia="ru-RU"/>
        </w:rPr>
        <w:t xml:space="preserve"> воспользоваться схемой, чтобы пояснить педагогам основу исследования в направлении математической грамотности. Посмотрите структуру на рисунке ниже.</w:t>
      </w:r>
    </w:p>
    <w:p w:rsidR="00395218" w:rsidRPr="00395218" w:rsidRDefault="00395218" w:rsidP="00395218">
      <w:pPr>
        <w:shd w:val="clear" w:color="auto" w:fill="FFFFFF"/>
        <w:spacing w:after="15" w:line="420" w:lineRule="atLeast"/>
        <w:outlineLvl w:val="2"/>
        <w:rPr>
          <w:rFonts w:ascii="Arial" w:eastAsia="Times New Roman" w:hAnsi="Arial" w:cs="Arial"/>
          <w:b/>
          <w:bCs/>
          <w:color w:val="000000"/>
          <w:sz w:val="30"/>
          <w:szCs w:val="30"/>
          <w:lang w:eastAsia="ru-RU"/>
        </w:rPr>
      </w:pPr>
      <w:r w:rsidRPr="00395218">
        <w:rPr>
          <w:rFonts w:ascii="Arial" w:eastAsia="Times New Roman" w:hAnsi="Arial" w:cs="Arial"/>
          <w:b/>
          <w:bCs/>
          <w:color w:val="000000"/>
          <w:sz w:val="30"/>
          <w:szCs w:val="30"/>
          <w:lang w:eastAsia="ru-RU"/>
        </w:rPr>
        <w:t>Рисунок 1. Структура концепции по математике PISA-2021</w:t>
      </w:r>
    </w:p>
    <w:p w:rsidR="00395218" w:rsidRPr="00395218" w:rsidRDefault="00395218" w:rsidP="00395218">
      <w:pPr>
        <w:shd w:val="clear" w:color="auto" w:fill="FFFFFF"/>
        <w:spacing w:after="0" w:line="420" w:lineRule="atLeast"/>
        <w:rPr>
          <w:rFonts w:ascii="Georgia" w:eastAsia="Times New Roman" w:hAnsi="Georgia" w:cs="Times New Roman"/>
          <w:color w:val="000000"/>
          <w:sz w:val="27"/>
          <w:szCs w:val="27"/>
          <w:lang w:eastAsia="ru-RU"/>
        </w:rPr>
      </w:pPr>
      <w:r>
        <w:rPr>
          <w:rFonts w:ascii="Georgia" w:eastAsia="Times New Roman" w:hAnsi="Georgia" w:cs="Times New Roman"/>
          <w:noProof/>
          <w:color w:val="000000"/>
          <w:sz w:val="27"/>
          <w:szCs w:val="27"/>
          <w:lang w:eastAsia="ru-RU"/>
        </w:rPr>
        <w:drawing>
          <wp:inline distT="0" distB="0" distL="0" distR="0">
            <wp:extent cx="7029450" cy="5734050"/>
            <wp:effectExtent l="19050" t="0" r="0" b="0"/>
            <wp:docPr id="1" name="Рисунок 1" descr="https://e.profkiosk.ru/service_tbn2/2ugz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2ugzgk.jpg"/>
                    <pic:cNvPicPr>
                      <a:picLocks noChangeAspect="1" noChangeArrowheads="1"/>
                    </pic:cNvPicPr>
                  </pic:nvPicPr>
                  <pic:blipFill>
                    <a:blip r:embed="rId4" cstate="print"/>
                    <a:srcRect/>
                    <a:stretch>
                      <a:fillRect/>
                    </a:stretch>
                  </pic:blipFill>
                  <pic:spPr bwMode="auto">
                    <a:xfrm>
                      <a:off x="0" y="0"/>
                      <a:ext cx="7029450" cy="5734050"/>
                    </a:xfrm>
                    <a:prstGeom prst="rect">
                      <a:avLst/>
                    </a:prstGeom>
                    <a:noFill/>
                    <a:ln w="9525">
                      <a:noFill/>
                      <a:miter lim="800000"/>
                      <a:headEnd/>
                      <a:tailEnd/>
                    </a:ln>
                  </pic:spPr>
                </pic:pic>
              </a:graphicData>
            </a:graphic>
          </wp:inline>
        </w:drawing>
      </w:r>
      <w:r w:rsidRPr="00395218">
        <w:rPr>
          <w:rFonts w:ascii="Georgia" w:eastAsia="Times New Roman" w:hAnsi="Georgia" w:cs="Times New Roman"/>
          <w:color w:val="000000"/>
          <w:sz w:val="27"/>
          <w:szCs w:val="27"/>
          <w:lang w:eastAsia="ru-RU"/>
        </w:rPr>
        <w:br/>
      </w:r>
      <w:hyperlink r:id="rId5" w:history="1">
        <w:r w:rsidRPr="00395218">
          <w:rPr>
            <w:rFonts w:ascii="Georgia" w:eastAsia="Times New Roman" w:hAnsi="Georgia" w:cs="Times New Roman"/>
            <w:b/>
            <w:bCs/>
            <w:color w:val="FFFFFF"/>
            <w:sz w:val="27"/>
            <w:u w:val="single"/>
            <w:lang w:eastAsia="ru-RU"/>
          </w:rPr>
          <w:t>Скачать</w:t>
        </w:r>
      </w:hyperlink>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Еще в оценке математической грамотности выделены четыре темы, на которые следует обратить внимание педагогов. Для каждой содержательной области математики в PISA-2021 выделено по одной теме. Посмотрите выше на рисунке 2 содержательные области математики и важные темы в грядущем исследовании.</w:t>
      </w:r>
    </w:p>
    <w:p w:rsidR="00395218" w:rsidRPr="00395218" w:rsidRDefault="00395218" w:rsidP="00395218">
      <w:pPr>
        <w:shd w:val="clear" w:color="auto" w:fill="FFFFFF"/>
        <w:spacing w:after="15" w:line="420" w:lineRule="atLeast"/>
        <w:outlineLvl w:val="2"/>
        <w:rPr>
          <w:rFonts w:ascii="Arial" w:eastAsia="Times New Roman" w:hAnsi="Arial" w:cs="Arial"/>
          <w:b/>
          <w:bCs/>
          <w:color w:val="000000"/>
          <w:sz w:val="30"/>
          <w:szCs w:val="30"/>
          <w:lang w:eastAsia="ru-RU"/>
        </w:rPr>
      </w:pPr>
      <w:r w:rsidRPr="00395218">
        <w:rPr>
          <w:rFonts w:ascii="Arial" w:eastAsia="Times New Roman" w:hAnsi="Arial" w:cs="Arial"/>
          <w:b/>
          <w:bCs/>
          <w:color w:val="000000"/>
          <w:sz w:val="30"/>
          <w:szCs w:val="30"/>
          <w:lang w:eastAsia="ru-RU"/>
        </w:rPr>
        <w:lastRenderedPageBreak/>
        <w:t>Рисунок 2. Четыре ключевые темы в оценке математической грамотности PISA-2021</w:t>
      </w:r>
    </w:p>
    <w:p w:rsidR="00395218" w:rsidRPr="00395218" w:rsidRDefault="00395218" w:rsidP="00395218">
      <w:pPr>
        <w:shd w:val="clear" w:color="auto" w:fill="FFFFFF"/>
        <w:spacing w:after="0" w:line="420" w:lineRule="atLeast"/>
        <w:ind w:left="-1134" w:firstLine="1134"/>
        <w:rPr>
          <w:rFonts w:ascii="Georgia" w:eastAsia="Times New Roman" w:hAnsi="Georgia" w:cs="Times New Roman"/>
          <w:color w:val="000000"/>
          <w:sz w:val="27"/>
          <w:szCs w:val="27"/>
          <w:lang w:eastAsia="ru-RU"/>
        </w:rPr>
      </w:pPr>
      <w:r>
        <w:rPr>
          <w:rFonts w:ascii="Georgia" w:eastAsia="Times New Roman" w:hAnsi="Georgia" w:cs="Times New Roman"/>
          <w:noProof/>
          <w:color w:val="000000"/>
          <w:sz w:val="27"/>
          <w:szCs w:val="27"/>
          <w:lang w:eastAsia="ru-RU"/>
        </w:rPr>
        <w:drawing>
          <wp:inline distT="0" distB="0" distL="0" distR="0">
            <wp:extent cx="7934325" cy="3914775"/>
            <wp:effectExtent l="19050" t="0" r="9525" b="0"/>
            <wp:docPr id="2" name="Рисунок 2" descr="https://e.profkiosk.ru/service_tbn2/uz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uzsky-.jpg"/>
                    <pic:cNvPicPr>
                      <a:picLocks noChangeAspect="1" noChangeArrowheads="1"/>
                    </pic:cNvPicPr>
                  </pic:nvPicPr>
                  <pic:blipFill>
                    <a:blip r:embed="rId6" cstate="print"/>
                    <a:srcRect/>
                    <a:stretch>
                      <a:fillRect/>
                    </a:stretch>
                  </pic:blipFill>
                  <pic:spPr bwMode="auto">
                    <a:xfrm>
                      <a:off x="0" y="0"/>
                      <a:ext cx="7934325" cy="3914775"/>
                    </a:xfrm>
                    <a:prstGeom prst="rect">
                      <a:avLst/>
                    </a:prstGeom>
                    <a:noFill/>
                    <a:ln w="9525">
                      <a:noFill/>
                      <a:miter lim="800000"/>
                      <a:headEnd/>
                      <a:tailEnd/>
                    </a:ln>
                  </pic:spPr>
                </pic:pic>
              </a:graphicData>
            </a:graphic>
          </wp:inline>
        </w:drawing>
      </w:r>
      <w:r w:rsidRPr="00395218">
        <w:rPr>
          <w:rFonts w:ascii="Georgia" w:eastAsia="Times New Roman" w:hAnsi="Georgia" w:cs="Times New Roman"/>
          <w:color w:val="000000"/>
          <w:sz w:val="27"/>
          <w:szCs w:val="27"/>
          <w:lang w:eastAsia="ru-RU"/>
        </w:rPr>
        <w:br/>
      </w:r>
      <w:hyperlink r:id="rId7" w:history="1">
        <w:r w:rsidRPr="00395218">
          <w:rPr>
            <w:rFonts w:ascii="Georgia" w:eastAsia="Times New Roman" w:hAnsi="Georgia" w:cs="Times New Roman"/>
            <w:b/>
            <w:bCs/>
            <w:color w:val="FFFFFF"/>
            <w:sz w:val="27"/>
            <w:u w:val="single"/>
            <w:lang w:eastAsia="ru-RU"/>
          </w:rPr>
          <w:t>Скачать</w:t>
        </w:r>
      </w:hyperlink>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В оценке читательской и естественнонаучной грамотности в программе PISA-2021 по сравнению с предыдущим циклом исследования существенных изменений нет.</w:t>
      </w:r>
    </w:p>
    <w:p w:rsidR="00395218" w:rsidRPr="00395218" w:rsidRDefault="00395218" w:rsidP="00395218">
      <w:pPr>
        <w:shd w:val="clear" w:color="auto" w:fill="FFFFFF"/>
        <w:spacing w:after="0" w:line="360" w:lineRule="atLeast"/>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71500" cy="647700"/>
            <wp:effectExtent l="19050" t="0" r="0" b="0"/>
            <wp:docPr id="3" name="Рисунок 3" descr="https://e.profkiosk.ru/service_tbn2/es308-rt03-f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es308-rt03-fas.png"/>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a:ln w="9525">
                      <a:noFill/>
                      <a:miter lim="800000"/>
                      <a:headEnd/>
                      <a:tailEnd/>
                    </a:ln>
                  </pic:spPr>
                </pic:pic>
              </a:graphicData>
            </a:graphic>
          </wp:inline>
        </w:drawing>
      </w:r>
    </w:p>
    <w:p w:rsidR="00395218" w:rsidRPr="00395218" w:rsidRDefault="00395218" w:rsidP="00395218">
      <w:pPr>
        <w:shd w:val="clear" w:color="auto" w:fill="FFFFFF"/>
        <w:spacing w:after="0" w:line="360" w:lineRule="atLeast"/>
        <w:outlineLvl w:val="2"/>
        <w:rPr>
          <w:rFonts w:ascii="Arial" w:eastAsia="Times New Roman" w:hAnsi="Arial" w:cs="Arial"/>
          <w:b/>
          <w:bCs/>
          <w:color w:val="000000"/>
          <w:sz w:val="24"/>
          <w:szCs w:val="24"/>
          <w:lang w:eastAsia="ru-RU"/>
        </w:rPr>
      </w:pPr>
      <w:r w:rsidRPr="00395218">
        <w:rPr>
          <w:rFonts w:ascii="Arial" w:eastAsia="Times New Roman" w:hAnsi="Arial" w:cs="Arial"/>
          <w:b/>
          <w:bCs/>
          <w:color w:val="A42D2E"/>
          <w:sz w:val="24"/>
          <w:lang w:eastAsia="ru-RU"/>
        </w:rPr>
        <w:t>ВАЖНО</w:t>
      </w:r>
    </w:p>
    <w:p w:rsidR="00395218" w:rsidRPr="00395218" w:rsidRDefault="00395218" w:rsidP="00395218">
      <w:pPr>
        <w:shd w:val="clear" w:color="auto" w:fill="FFFFFF"/>
        <w:spacing w:after="0" w:line="360" w:lineRule="atLeast"/>
        <w:rPr>
          <w:rFonts w:ascii="Arial" w:eastAsia="Times New Roman" w:hAnsi="Arial" w:cs="Arial"/>
          <w:color w:val="000000"/>
          <w:sz w:val="23"/>
          <w:szCs w:val="23"/>
          <w:lang w:eastAsia="ru-RU"/>
        </w:rPr>
      </w:pPr>
      <w:r w:rsidRPr="00395218">
        <w:rPr>
          <w:rFonts w:ascii="Arial" w:eastAsia="Times New Roman" w:hAnsi="Arial" w:cs="Arial"/>
          <w:color w:val="000000"/>
          <w:sz w:val="23"/>
          <w:szCs w:val="23"/>
          <w:lang w:eastAsia="ru-RU"/>
        </w:rPr>
        <w:t>Основные направления формирования функциональной грамотности:</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4" name="Рисунок 4"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читательская грамотность;</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5" name="Рисунок 5"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математическая грамотность;</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6" name="Рисунок 6"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естественнонаучная грамотность.</w:t>
      </w:r>
    </w:p>
    <w:p w:rsidR="00395218" w:rsidRPr="00395218" w:rsidRDefault="00395218" w:rsidP="00395218">
      <w:pPr>
        <w:shd w:val="clear" w:color="auto" w:fill="FFFFFF"/>
        <w:spacing w:after="0" w:line="360" w:lineRule="atLeast"/>
        <w:rPr>
          <w:rFonts w:ascii="Arial" w:eastAsia="Times New Roman" w:hAnsi="Arial" w:cs="Arial"/>
          <w:color w:val="000000"/>
          <w:sz w:val="23"/>
          <w:szCs w:val="23"/>
          <w:lang w:eastAsia="ru-RU"/>
        </w:rPr>
      </w:pPr>
      <w:r w:rsidRPr="00395218">
        <w:rPr>
          <w:rFonts w:ascii="Arial" w:eastAsia="Times New Roman" w:hAnsi="Arial" w:cs="Arial"/>
          <w:color w:val="000000"/>
          <w:sz w:val="23"/>
          <w:szCs w:val="23"/>
          <w:lang w:eastAsia="ru-RU"/>
        </w:rPr>
        <w:t>Дополнительные направления:</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7" name="Рисунок 7"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финансовая грамотность;</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8" name="Рисунок 8"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решение проблем;</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9" name="Рисунок 9"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395218">
        <w:rPr>
          <w:rFonts w:ascii="Arial" w:eastAsia="Times New Roman" w:hAnsi="Arial" w:cs="Arial"/>
          <w:color w:val="000000"/>
          <w:sz w:val="23"/>
          <w:szCs w:val="23"/>
          <w:lang w:eastAsia="ru-RU"/>
        </w:rPr>
        <w:t>глобальные компетенции;</w:t>
      </w:r>
      <w:r w:rsidRPr="00395218">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285750" cy="285750"/>
            <wp:effectExtent l="19050" t="0" r="0" b="0"/>
            <wp:docPr id="10" name="Рисунок 10" descr="https://e.profkiosk.ru/service_tbn2/c6gb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profkiosk.ru/service_tbn2/c6gbgc.png"/>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roofErr w:type="spellStart"/>
      <w:r w:rsidRPr="00395218">
        <w:rPr>
          <w:rFonts w:ascii="Arial" w:eastAsia="Times New Roman" w:hAnsi="Arial" w:cs="Arial"/>
          <w:color w:val="000000"/>
          <w:sz w:val="23"/>
          <w:szCs w:val="23"/>
          <w:lang w:eastAsia="ru-RU"/>
        </w:rPr>
        <w:t>креативное</w:t>
      </w:r>
      <w:proofErr w:type="spellEnd"/>
      <w:r w:rsidRPr="00395218">
        <w:rPr>
          <w:rFonts w:ascii="Arial" w:eastAsia="Times New Roman" w:hAnsi="Arial" w:cs="Arial"/>
          <w:color w:val="000000"/>
          <w:sz w:val="23"/>
          <w:szCs w:val="23"/>
          <w:lang w:eastAsia="ru-RU"/>
        </w:rPr>
        <w:t xml:space="preserve"> мышление</w:t>
      </w:r>
    </w:p>
    <w:p w:rsidR="00395218" w:rsidRPr="00395218" w:rsidRDefault="00395218" w:rsidP="00395218">
      <w:pPr>
        <w:shd w:val="clear" w:color="auto" w:fill="FFFFFF"/>
        <w:spacing w:after="0" w:line="420" w:lineRule="atLeast"/>
        <w:outlineLvl w:val="1"/>
        <w:rPr>
          <w:rFonts w:ascii="Arial" w:eastAsia="Times New Roman" w:hAnsi="Arial" w:cs="Arial"/>
          <w:b/>
          <w:bCs/>
          <w:color w:val="000000"/>
          <w:sz w:val="33"/>
          <w:szCs w:val="33"/>
          <w:lang w:eastAsia="ru-RU"/>
        </w:rPr>
      </w:pPr>
      <w:r w:rsidRPr="00395218">
        <w:rPr>
          <w:rFonts w:ascii="Arial" w:eastAsia="Times New Roman" w:hAnsi="Arial" w:cs="Arial"/>
          <w:b/>
          <w:bCs/>
          <w:color w:val="000000"/>
          <w:sz w:val="33"/>
          <w:szCs w:val="33"/>
          <w:lang w:eastAsia="ru-RU"/>
        </w:rPr>
        <w:lastRenderedPageBreak/>
        <w:t>Проверьте, как учителя формируют функциональную грамотность</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Проконтролируйте, как педагоги на уроках развивают функциональную грамотность учеников. Используйте для этого карты контроля работы учителей. Инструмент контроля может быть единым для всех направлений. Но удобнее разработать отдельные карты контроля по разным компонентам функциональной грамотности. Выдайте карту руководителям ШМО, чтобы они заранее проанализировали работу педагогов. Пусть разъяснят учителям критерии анализа и задания, которые нужно будет включить в содержание уроков.</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 xml:space="preserve">Чтобы оценить, насколько качественно педагоги сформировали у школьников математическую грамотность, воспользуйтесь готовой картой контроля. В карте два вида задания – по требованиям PISA и по ФГОС. Ведь с 2019 года </w:t>
      </w:r>
      <w:proofErr w:type="spellStart"/>
      <w:r w:rsidRPr="00395218">
        <w:rPr>
          <w:rFonts w:ascii="Georgia" w:eastAsia="Times New Roman" w:hAnsi="Georgia" w:cs="Times New Roman"/>
          <w:color w:val="000000"/>
          <w:sz w:val="27"/>
          <w:szCs w:val="27"/>
          <w:lang w:eastAsia="ru-RU"/>
        </w:rPr>
        <w:t>Рособрнадзор</w:t>
      </w:r>
      <w:proofErr w:type="spellEnd"/>
      <w:r w:rsidRPr="00395218">
        <w:rPr>
          <w:rFonts w:ascii="Georgia" w:eastAsia="Times New Roman" w:hAnsi="Georgia" w:cs="Times New Roman"/>
          <w:color w:val="000000"/>
          <w:sz w:val="27"/>
          <w:szCs w:val="27"/>
          <w:lang w:eastAsia="ru-RU"/>
        </w:rPr>
        <w:t xml:space="preserve"> добавил к оценке по ФГОС оценку на основе международных исследований.</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В исследовании PISA математическую грамотность рассматривают по трем аспектам: математический процесс, предметное содержание, контексты задач. Поэтому критерии оценки в карте также разделены по трем блокам. Оцените каждый показатель в карте баллом. Для этого воспользуйтесь шкалой оценки.</w:t>
      </w:r>
    </w:p>
    <w:p w:rsidR="00395218" w:rsidRPr="00395218" w:rsidRDefault="00395218" w:rsidP="00395218">
      <w:pPr>
        <w:shd w:val="clear" w:color="auto" w:fill="FFFFFF"/>
        <w:spacing w:after="240" w:line="420" w:lineRule="atLeast"/>
        <w:rPr>
          <w:rFonts w:ascii="Georgia" w:eastAsia="Times New Roman" w:hAnsi="Georgia" w:cs="Times New Roman"/>
          <w:color w:val="000000"/>
          <w:sz w:val="27"/>
          <w:szCs w:val="27"/>
          <w:lang w:eastAsia="ru-RU"/>
        </w:rPr>
      </w:pPr>
      <w:r w:rsidRPr="00395218">
        <w:rPr>
          <w:rFonts w:ascii="Georgia" w:eastAsia="Times New Roman" w:hAnsi="Georgia" w:cs="Times New Roman"/>
          <w:color w:val="000000"/>
          <w:sz w:val="27"/>
          <w:szCs w:val="27"/>
          <w:lang w:eastAsia="ru-RU"/>
        </w:rPr>
        <w:t>После контроля обработайте результаты. Подсчитайте итоговый балл, как сумму баллов по всем показателям в карте. Сравните его с максимальным баллом в карте и сделайте выводы с помощью ключа</w:t>
      </w:r>
    </w:p>
    <w:p w:rsidR="0083682D" w:rsidRPr="0083682D" w:rsidRDefault="0083682D" w:rsidP="0083682D">
      <w:pPr>
        <w:shd w:val="clear" w:color="auto" w:fill="FFFFFF"/>
        <w:spacing w:after="0" w:line="420" w:lineRule="atLeast"/>
        <w:outlineLvl w:val="1"/>
        <w:rPr>
          <w:rFonts w:ascii="Arial" w:eastAsia="Times New Roman" w:hAnsi="Arial" w:cs="Arial"/>
          <w:b/>
          <w:bCs/>
          <w:color w:val="000000"/>
          <w:sz w:val="33"/>
          <w:szCs w:val="33"/>
          <w:lang w:eastAsia="ru-RU"/>
        </w:rPr>
      </w:pPr>
      <w:r w:rsidRPr="0083682D">
        <w:rPr>
          <w:rFonts w:ascii="Arial" w:eastAsia="Times New Roman" w:hAnsi="Arial" w:cs="Arial"/>
          <w:b/>
          <w:bCs/>
          <w:color w:val="000000"/>
          <w:sz w:val="33"/>
          <w:szCs w:val="33"/>
          <w:lang w:eastAsia="ru-RU"/>
        </w:rPr>
        <w:t>Сделайте выводы</w:t>
      </w:r>
    </w:p>
    <w:p w:rsidR="0083682D" w:rsidRPr="0083682D" w:rsidRDefault="0083682D" w:rsidP="0083682D">
      <w:pPr>
        <w:shd w:val="clear" w:color="auto" w:fill="FFFFFF"/>
        <w:spacing w:after="240" w:line="420" w:lineRule="atLeast"/>
        <w:rPr>
          <w:rFonts w:ascii="Georgia" w:eastAsia="Times New Roman" w:hAnsi="Georgia" w:cs="Times New Roman"/>
          <w:color w:val="000000"/>
          <w:sz w:val="27"/>
          <w:szCs w:val="27"/>
          <w:lang w:eastAsia="ru-RU"/>
        </w:rPr>
      </w:pPr>
      <w:r w:rsidRPr="0083682D">
        <w:rPr>
          <w:rFonts w:ascii="Georgia" w:eastAsia="Times New Roman" w:hAnsi="Georgia" w:cs="Times New Roman"/>
          <w:color w:val="000000"/>
          <w:sz w:val="27"/>
          <w:szCs w:val="27"/>
          <w:lang w:eastAsia="ru-RU"/>
        </w:rPr>
        <w:t>Если педагог набрал мало баллов, значит, он не умеет или не знает, как формировать функциональную грамотность учеников. Спланируйте работу по повышению квалификации учителей.</w:t>
      </w:r>
    </w:p>
    <w:p w:rsidR="0083682D" w:rsidRPr="0083682D" w:rsidRDefault="0083682D" w:rsidP="0083682D">
      <w:pPr>
        <w:shd w:val="clear" w:color="auto" w:fill="FFFFFF"/>
        <w:spacing w:after="0" w:line="240" w:lineRule="auto"/>
        <w:rPr>
          <w:rFonts w:ascii="Georgia" w:eastAsia="Times New Roman" w:hAnsi="Georgia" w:cs="Times New Roman"/>
          <w:color w:val="000000"/>
          <w:sz w:val="27"/>
          <w:szCs w:val="27"/>
          <w:lang w:eastAsia="ru-RU"/>
        </w:rPr>
      </w:pPr>
      <w:r w:rsidRPr="0083682D">
        <w:rPr>
          <w:rFonts w:ascii="Arial" w:eastAsia="Times New Roman" w:hAnsi="Arial" w:cs="Arial"/>
          <w:color w:val="6F6F6F"/>
          <w:sz w:val="17"/>
          <w:lang w:eastAsia="ru-RU"/>
        </w:rPr>
        <w:t>+</w:t>
      </w:r>
    </w:p>
    <w:p w:rsidR="0083682D" w:rsidRPr="0083682D" w:rsidRDefault="0083682D" w:rsidP="0083682D">
      <w:pPr>
        <w:shd w:val="clear" w:color="auto" w:fill="FFFFFF"/>
        <w:spacing w:after="240" w:line="420" w:lineRule="atLeast"/>
        <w:rPr>
          <w:rFonts w:ascii="Georgia" w:eastAsia="Times New Roman" w:hAnsi="Georgia" w:cs="Times New Roman"/>
          <w:color w:val="000000"/>
          <w:sz w:val="27"/>
          <w:szCs w:val="27"/>
          <w:lang w:eastAsia="ru-RU"/>
        </w:rPr>
      </w:pPr>
      <w:r w:rsidRPr="0083682D">
        <w:rPr>
          <w:rFonts w:ascii="Georgia" w:eastAsia="Times New Roman" w:hAnsi="Georgia" w:cs="Times New Roman"/>
          <w:color w:val="000000"/>
          <w:sz w:val="27"/>
          <w:szCs w:val="27"/>
          <w:lang w:eastAsia="ru-RU"/>
        </w:rPr>
        <w:t xml:space="preserve">Еще разработайте программу по развитию функциональной грамотности. Выберите </w:t>
      </w:r>
      <w:proofErr w:type="gramStart"/>
      <w:r w:rsidRPr="0083682D">
        <w:rPr>
          <w:rFonts w:ascii="Georgia" w:eastAsia="Times New Roman" w:hAnsi="Georgia" w:cs="Times New Roman"/>
          <w:color w:val="000000"/>
          <w:sz w:val="27"/>
          <w:szCs w:val="27"/>
          <w:lang w:eastAsia="ru-RU"/>
        </w:rPr>
        <w:t>ответственного</w:t>
      </w:r>
      <w:proofErr w:type="gramEnd"/>
      <w:r w:rsidRPr="0083682D">
        <w:rPr>
          <w:rFonts w:ascii="Georgia" w:eastAsia="Times New Roman" w:hAnsi="Georgia" w:cs="Times New Roman"/>
          <w:color w:val="000000"/>
          <w:sz w:val="27"/>
          <w:szCs w:val="27"/>
          <w:lang w:eastAsia="ru-RU"/>
        </w:rPr>
        <w:t>, который будет отвечать за ее реализацию. Поручите ему на первом этапе проанализировать учебно-методические материалы, которые используют учителя. Пусть проконсультируется с педагогами и руководителями ШМО и предложит вам список учебных материалов нового поколения, которыми можно обеспечить учителей.</w:t>
      </w:r>
    </w:p>
    <w:p w:rsidR="007F3904" w:rsidRDefault="007F3904"/>
    <w:sectPr w:rsidR="007F3904" w:rsidSect="00395218">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5218"/>
    <w:rsid w:val="00395218"/>
    <w:rsid w:val="007F3904"/>
    <w:rsid w:val="0083682D"/>
    <w:rsid w:val="00CB369E"/>
    <w:rsid w:val="00CF47FF"/>
    <w:rsid w:val="00E90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904"/>
  </w:style>
  <w:style w:type="paragraph" w:styleId="2">
    <w:name w:val="heading 2"/>
    <w:basedOn w:val="a"/>
    <w:link w:val="20"/>
    <w:uiPriority w:val="9"/>
    <w:qFormat/>
    <w:rsid w:val="003952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52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52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52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95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5218"/>
    <w:rPr>
      <w:color w:val="0000FF"/>
      <w:u w:val="single"/>
    </w:rPr>
  </w:style>
  <w:style w:type="character" w:customStyle="1" w:styleId="red">
    <w:name w:val="red"/>
    <w:basedOn w:val="a0"/>
    <w:rsid w:val="00395218"/>
  </w:style>
  <w:style w:type="paragraph" w:styleId="a5">
    <w:name w:val="Balloon Text"/>
    <w:basedOn w:val="a"/>
    <w:link w:val="a6"/>
    <w:uiPriority w:val="99"/>
    <w:semiHidden/>
    <w:unhideWhenUsed/>
    <w:rsid w:val="00395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5218"/>
    <w:rPr>
      <w:rFonts w:ascii="Tahoma" w:hAnsi="Tahoma" w:cs="Tahoma"/>
      <w:sz w:val="16"/>
      <w:szCs w:val="16"/>
    </w:rPr>
  </w:style>
  <w:style w:type="character" w:customStyle="1" w:styleId="comment-right-informer-wr">
    <w:name w:val="comment-right-informer-wr"/>
    <w:basedOn w:val="a0"/>
    <w:rsid w:val="0083682D"/>
  </w:style>
</w:styles>
</file>

<file path=word/webSettings.xml><?xml version="1.0" encoding="utf-8"?>
<w:webSettings xmlns:r="http://schemas.openxmlformats.org/officeDocument/2006/relationships" xmlns:w="http://schemas.openxmlformats.org/wordprocessingml/2006/main">
  <w:divs>
    <w:div w:id="100613018">
      <w:bodyDiv w:val="1"/>
      <w:marLeft w:val="0"/>
      <w:marRight w:val="0"/>
      <w:marTop w:val="0"/>
      <w:marBottom w:val="0"/>
      <w:divBdr>
        <w:top w:val="none" w:sz="0" w:space="0" w:color="auto"/>
        <w:left w:val="none" w:sz="0" w:space="0" w:color="auto"/>
        <w:bottom w:val="none" w:sz="0" w:space="0" w:color="auto"/>
        <w:right w:val="none" w:sz="0" w:space="0" w:color="auto"/>
      </w:divBdr>
      <w:divsChild>
        <w:div w:id="2077314390">
          <w:marLeft w:val="0"/>
          <w:marRight w:val="0"/>
          <w:marTop w:val="0"/>
          <w:marBottom w:val="0"/>
          <w:divBdr>
            <w:top w:val="none" w:sz="0" w:space="0" w:color="auto"/>
            <w:left w:val="none" w:sz="0" w:space="0" w:color="auto"/>
            <w:bottom w:val="none" w:sz="0" w:space="0" w:color="auto"/>
            <w:right w:val="none" w:sz="0" w:space="0" w:color="auto"/>
          </w:divBdr>
        </w:div>
      </w:divsChild>
    </w:div>
    <w:div w:id="1780372295">
      <w:bodyDiv w:val="1"/>
      <w:marLeft w:val="0"/>
      <w:marRight w:val="0"/>
      <w:marTop w:val="0"/>
      <w:marBottom w:val="0"/>
      <w:divBdr>
        <w:top w:val="none" w:sz="0" w:space="0" w:color="auto"/>
        <w:left w:val="none" w:sz="0" w:space="0" w:color="auto"/>
        <w:bottom w:val="none" w:sz="0" w:space="0" w:color="auto"/>
        <w:right w:val="none" w:sz="0" w:space="0" w:color="auto"/>
      </w:divBdr>
      <w:divsChild>
        <w:div w:id="1226182981">
          <w:marLeft w:val="0"/>
          <w:marRight w:val="0"/>
          <w:marTop w:val="0"/>
          <w:marBottom w:val="105"/>
          <w:divBdr>
            <w:top w:val="none" w:sz="0" w:space="0" w:color="auto"/>
            <w:left w:val="none" w:sz="0" w:space="0" w:color="auto"/>
            <w:bottom w:val="none" w:sz="0" w:space="0" w:color="auto"/>
            <w:right w:val="none" w:sz="0" w:space="0" w:color="auto"/>
          </w:divBdr>
          <w:divsChild>
            <w:div w:id="1033306234">
              <w:marLeft w:val="0"/>
              <w:marRight w:val="0"/>
              <w:marTop w:val="0"/>
              <w:marBottom w:val="0"/>
              <w:divBdr>
                <w:top w:val="none" w:sz="0" w:space="0" w:color="auto"/>
                <w:left w:val="none" w:sz="0" w:space="0" w:color="auto"/>
                <w:bottom w:val="none" w:sz="0" w:space="0" w:color="auto"/>
                <w:right w:val="none" w:sz="0" w:space="0" w:color="auto"/>
              </w:divBdr>
              <w:divsChild>
                <w:div w:id="5140903">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658537087">
          <w:marLeft w:val="0"/>
          <w:marRight w:val="0"/>
          <w:marTop w:val="0"/>
          <w:marBottom w:val="0"/>
          <w:divBdr>
            <w:top w:val="none" w:sz="0" w:space="0" w:color="auto"/>
            <w:left w:val="none" w:sz="0" w:space="0" w:color="auto"/>
            <w:bottom w:val="none" w:sz="0" w:space="0" w:color="auto"/>
            <w:right w:val="none" w:sz="0" w:space="0" w:color="auto"/>
          </w:divBdr>
          <w:divsChild>
            <w:div w:id="498544002">
              <w:marLeft w:val="0"/>
              <w:marRight w:val="405"/>
              <w:marTop w:val="0"/>
              <w:marBottom w:val="0"/>
              <w:divBdr>
                <w:top w:val="none" w:sz="0" w:space="0" w:color="auto"/>
                <w:left w:val="none" w:sz="0" w:space="0" w:color="auto"/>
                <w:bottom w:val="none" w:sz="0" w:space="0" w:color="auto"/>
                <w:right w:val="none" w:sz="0" w:space="0" w:color="auto"/>
              </w:divBdr>
              <w:divsChild>
                <w:div w:id="5448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e.profkiosk.ru/eServices/service_content/file/2135718e-0ab8-4160-a70c-9ab2f0faead6.pdf;Risunok%202.%20CHetyre%20klyuchevye%20temy%20v%20ocenke%20matematicheskojj%20gramotnosti%20PISA-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e.profkiosk.ru/eServices/service_content/file/7404e0f3-2662-4339-ba56-fa0fa9bb9259.pdf;Risunok%201.%20Struktura%20koncepcii%20po%20matematike%20PISA-2021.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ИКТ</dc:creator>
  <cp:lastModifiedBy>кабинет ИКТ</cp:lastModifiedBy>
  <cp:revision>3</cp:revision>
  <dcterms:created xsi:type="dcterms:W3CDTF">2022-02-18T06:48:00Z</dcterms:created>
  <dcterms:modified xsi:type="dcterms:W3CDTF">2022-02-18T07:52:00Z</dcterms:modified>
</cp:coreProperties>
</file>